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default"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27bis</w:t>
      </w:r>
      <w:r>
        <w:rPr>
          <w:b/>
          <w:sz w:val="20"/>
          <w:szCs w:val="20"/>
        </w:rPr>
        <w:tab/>
      </w:r>
      <w:r>
        <w:rPr>
          <w:rFonts w:hint="eastAsia"/>
          <w:b/>
          <w:sz w:val="20"/>
          <w:szCs w:val="20"/>
        </w:rPr>
        <w:t>R2-2408083</w:t>
      </w:r>
      <w:bookmarkStart w:id="10" w:name="_GoBack"/>
      <w:bookmarkEnd w:id="10"/>
    </w:p>
    <w:p>
      <w:pPr>
        <w:pStyle w:val="56"/>
        <w:jc w:val="left"/>
        <w:rPr>
          <w:rFonts w:hint="eastAsia" w:cs="Arial"/>
          <w:sz w:val="20"/>
          <w:szCs w:val="20"/>
        </w:rPr>
      </w:pPr>
      <w:r>
        <w:rPr>
          <w:rFonts w:hint="eastAsia" w:cs="Arial"/>
          <w:sz w:val="20"/>
          <w:szCs w:val="20"/>
        </w:rPr>
        <w:t>Hefei, China, October 14</w:t>
      </w:r>
      <w:r>
        <w:rPr>
          <w:rFonts w:hint="eastAsia" w:cs="Arial"/>
          <w:sz w:val="20"/>
          <w:szCs w:val="20"/>
          <w:vertAlign w:val="superscript"/>
        </w:rPr>
        <w:t>th</w:t>
      </w:r>
      <w:r>
        <w:rPr>
          <w:rFonts w:hint="eastAsia" w:cs="Arial"/>
          <w:sz w:val="20"/>
          <w:szCs w:val="20"/>
        </w:rPr>
        <w:t xml:space="preserve"> – 18</w:t>
      </w:r>
      <w:r>
        <w:rPr>
          <w:rFonts w:hint="eastAsia" w:cs="Arial"/>
          <w:sz w:val="20"/>
          <w:szCs w:val="20"/>
          <w:vertAlign w:val="superscript"/>
        </w:rPr>
        <w:t>th</w:t>
      </w:r>
      <w:r>
        <w:rPr>
          <w:rFonts w:hint="eastAsia" w:cs="Arial"/>
          <w:sz w:val="20"/>
          <w:szCs w:val="20"/>
        </w:rPr>
        <w:t>, 2024</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8.9.4</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D</w:t>
      </w:r>
      <w:r>
        <w:rPr>
          <w:rFonts w:hint="eastAsia" w:cs="Arial" w:eastAsiaTheme="minorEastAsia"/>
          <w:sz w:val="20"/>
          <w:szCs w:val="20"/>
          <w:lang w:val="en-US" w:eastAsia="zh-CN"/>
        </w:rPr>
        <w:t>iscussion on broadcast of PWS messages for NB-IoT</w:t>
      </w:r>
    </w:p>
    <w:p>
      <w:pPr>
        <w:pStyle w:val="56"/>
        <w:jc w:val="left"/>
        <w:rPr>
          <w:rFonts w:cs="Arial" w:eastAsiaTheme="minorEastAsia"/>
          <w:sz w:val="20"/>
          <w:szCs w:val="20"/>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suppressAutoHyphens/>
        <w:adjustRightInd/>
        <w:spacing w:before="120"/>
        <w:rPr>
          <w:rFonts w:hint="eastAsia" w:cs="Arial" w:eastAsiaTheme="minorEastAsia"/>
          <w:lang w:val="en-US" w:eastAsia="zh-CN"/>
        </w:rPr>
      </w:pPr>
      <w:r>
        <w:rPr>
          <w:rFonts w:hint="eastAsia" w:cs="Arial" w:eastAsiaTheme="minorEastAsia"/>
          <w:lang w:val="en-US" w:eastAsia="zh-CN"/>
        </w:rPr>
        <w:t>In RAN #105, PWS for NB-IoT has been discussed and supported finally, then the WID scope has been updated to cover the objective [1]:</w:t>
      </w:r>
    </w:p>
    <w:p>
      <w:pPr>
        <w:numPr>
          <w:ilvl w:val="0"/>
          <w:numId w:val="11"/>
        </w:numPr>
        <w:rPr>
          <w:bCs/>
          <w:i/>
          <w:iCs/>
        </w:rPr>
      </w:pPr>
      <w:bookmarkStart w:id="2" w:name="OLE_LINK79"/>
      <w:r>
        <w:rPr>
          <w:bCs/>
          <w:i/>
          <w:iCs/>
        </w:rPr>
        <w:t>Support broadcast of PWS messages for NB-IoT re-using the LTE mechanisms [RAN2]</w:t>
      </w:r>
      <w:bookmarkEnd w:id="2"/>
    </w:p>
    <w:p>
      <w:pPr>
        <w:spacing w:after="0"/>
        <w:ind w:left="720"/>
        <w:rPr>
          <w:bCs/>
          <w:i/>
          <w:iCs/>
        </w:rPr>
      </w:pPr>
      <w:r>
        <w:rPr>
          <w:bCs/>
          <w:i/>
          <w:iCs/>
        </w:rPr>
        <w:t xml:space="preserve">Note: </w:t>
      </w:r>
      <w:bookmarkStart w:id="3" w:name="OLE_LINK22"/>
      <w:r>
        <w:rPr>
          <w:bCs/>
          <w:i/>
          <w:iCs/>
        </w:rPr>
        <w:t>The solutions will be developed for NTN but can be applicable to TN (if possible</w:t>
      </w:r>
      <w:bookmarkEnd w:id="3"/>
      <w:r>
        <w:rPr>
          <w:bCs/>
          <w:i/>
          <w:iCs/>
        </w:rPr>
        <w:t xml:space="preserve">). </w:t>
      </w:r>
      <w:bookmarkStart w:id="4" w:name="OLE_LINK25"/>
      <w:r>
        <w:rPr>
          <w:bCs/>
          <w:i/>
          <w:iCs/>
        </w:rPr>
        <w:t>Specific NB-IoT TN optimizations will not be considered as part of this WI</w:t>
      </w:r>
      <w:bookmarkEnd w:id="4"/>
      <w:r>
        <w:rPr>
          <w:bCs/>
          <w:i/>
          <w:iCs/>
        </w:rPr>
        <w:t>.</w:t>
      </w:r>
    </w:p>
    <w:p>
      <w:pPr>
        <w:spacing w:after="0"/>
        <w:ind w:left="1440"/>
        <w:rPr>
          <w:bCs/>
          <w:i/>
          <w:iCs/>
        </w:rPr>
      </w:pPr>
      <w:r>
        <w:rPr>
          <w:bCs/>
          <w:i/>
          <w:iCs/>
        </w:rPr>
        <w:t xml:space="preserve">  </w:t>
      </w:r>
    </w:p>
    <w:p>
      <w:pPr>
        <w:spacing w:after="0"/>
        <w:ind w:left="720"/>
        <w:rPr>
          <w:bCs/>
          <w:i/>
          <w:iCs/>
        </w:rPr>
      </w:pPr>
      <w:r>
        <w:rPr>
          <w:bCs/>
          <w:i/>
          <w:iCs/>
        </w:rPr>
        <w:t xml:space="preserve">Note: </w:t>
      </w:r>
      <w:bookmarkStart w:id="5" w:name="OLE_LINK31"/>
      <w:bookmarkStart w:id="6" w:name="OLE_LINK28"/>
      <w:r>
        <w:rPr>
          <w:bCs/>
          <w:i/>
          <w:iCs/>
        </w:rPr>
        <w:t xml:space="preserve">Support for </w:t>
      </w:r>
      <w:bookmarkStart w:id="7" w:name="OLE_LINK32"/>
      <w:r>
        <w:rPr>
          <w:bCs/>
          <w:i/>
          <w:iCs/>
        </w:rPr>
        <w:t>indication of intended service area</w:t>
      </w:r>
      <w:bookmarkEnd w:id="7"/>
      <w:r>
        <w:rPr>
          <w:bCs/>
          <w:i/>
          <w:iCs/>
        </w:rPr>
        <w:t xml:space="preserve"> </w:t>
      </w:r>
      <w:bookmarkEnd w:id="5"/>
      <w:r>
        <w:rPr>
          <w:bCs/>
          <w:i/>
          <w:iCs/>
        </w:rPr>
        <w:t>for ETWS will be considered based on NR NTN discussions</w:t>
      </w:r>
      <w:bookmarkEnd w:id="6"/>
      <w:r>
        <w:rPr>
          <w:bCs/>
          <w:i/>
          <w:iCs/>
        </w:rPr>
        <w:t xml:space="preserve">/outcome. </w:t>
      </w:r>
    </w:p>
    <w:p>
      <w:pPr>
        <w:suppressAutoHyphens/>
        <w:adjustRightInd/>
        <w:spacing w:before="120"/>
        <w:rPr>
          <w:rFonts w:eastAsiaTheme="minorEastAsia"/>
        </w:rPr>
      </w:pPr>
      <w:r>
        <w:rPr>
          <w:rFonts w:hint="eastAsia" w:cs="Arial" w:eastAsiaTheme="minorEastAsia"/>
        </w:rPr>
        <w:t>I</w:t>
      </w:r>
      <w:r>
        <w:rPr>
          <w:rFonts w:cs="Arial"/>
        </w:rPr>
        <w:t>n this contribution, we would like to</w:t>
      </w:r>
      <w:r>
        <w:rPr>
          <w:rFonts w:hint="eastAsia" w:eastAsia="宋体" w:cs="Arial"/>
          <w:lang w:val="en-US" w:eastAsia="zh-CN"/>
        </w:rPr>
        <w:t xml:space="preserve"> </w:t>
      </w:r>
      <w:r>
        <w:rPr>
          <w:rFonts w:cs="Arial"/>
        </w:rPr>
        <w:t>provide</w:t>
      </w:r>
      <w:r>
        <w:rPr>
          <w:rFonts w:hint="eastAsia" w:eastAsia="宋体" w:cs="Arial"/>
          <w:lang w:val="en-US" w:eastAsia="zh-CN"/>
        </w:rPr>
        <w:t xml:space="preserve"> </w:t>
      </w:r>
      <w:r>
        <w:rPr>
          <w:rFonts w:hint="eastAsia" w:cs="Arial" w:eastAsiaTheme="minorEastAsia"/>
          <w:lang w:val="en-US" w:eastAsia="zh-CN"/>
        </w:rPr>
        <w:t>some discussion on</w:t>
      </w:r>
      <w:r>
        <w:rPr>
          <w:rFonts w:hint="eastAsia" w:cs="Arial"/>
        </w:rPr>
        <w:t xml:space="preserve"> broadcast of PWS messages for NB-IoT</w:t>
      </w:r>
      <w:r>
        <w:rPr>
          <w:rFonts w:hint="eastAsia" w:eastAsia="宋体" w:cs="Arial"/>
          <w:lang w:val="en-US" w:eastAsia="zh-CN"/>
        </w:rPr>
        <w:t xml:space="preserve"> NTN system</w:t>
      </w:r>
      <w:r>
        <w:rPr>
          <w:rFonts w:hint="eastAsia" w:cs="Arial" w:eastAsiaTheme="minorEastAsia"/>
        </w:rPr>
        <w:t>.</w:t>
      </w:r>
    </w:p>
    <w:p>
      <w:pPr>
        <w:pStyle w:val="2"/>
        <w:rPr>
          <w:rFonts w:hint="default" w:cs="Arial"/>
          <w:sz w:val="20"/>
          <w:szCs w:val="20"/>
          <w:lang w:val="en-US" w:eastAsia="zh-CN"/>
        </w:rPr>
      </w:pPr>
      <w:r>
        <w:rPr>
          <w:rFonts w:cs="Arial"/>
          <w:sz w:val="32"/>
          <w:szCs w:val="32"/>
        </w:rPr>
        <w:t>Discussion</w:t>
      </w:r>
      <w:bookmarkStart w:id="8"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ETWS (Earthquake and Tsunami Warning System)</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As we known, in R19 NR NTN, an LS about whether support geofence of ETWS emergency messages to an area is sent to SA1 in last RAN2 meeting. Then regarding the intended service area for ETWS, we could just wait for NR NTN agreements.</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1: It is proposed to wait for NR NTN agreements on intended service area for ETWS.</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As in current TS 36.331, the IE </w:t>
      </w:r>
      <w:r>
        <w:rPr>
          <w:rFonts w:hint="eastAsia" w:eastAsiaTheme="minorEastAsia"/>
          <w:b w:val="0"/>
          <w:bCs w:val="0"/>
          <w:i/>
          <w:iCs/>
          <w:sz w:val="20"/>
          <w:szCs w:val="20"/>
          <w:lang w:val="en-US" w:eastAsia="zh-CN"/>
        </w:rPr>
        <w:t xml:space="preserve">SystemInformationBlockType10 </w:t>
      </w:r>
      <w:r>
        <w:rPr>
          <w:rFonts w:hint="eastAsia" w:eastAsiaTheme="minorEastAsia"/>
          <w:b w:val="0"/>
          <w:bCs w:val="0"/>
          <w:sz w:val="20"/>
          <w:szCs w:val="20"/>
          <w:lang w:val="en-US" w:eastAsia="zh-CN"/>
        </w:rPr>
        <w:t xml:space="preserve">contains an ETWS primary notification and </w:t>
      </w:r>
      <w:r>
        <w:rPr>
          <w:rFonts w:hint="eastAsia" w:eastAsiaTheme="minorEastAsia"/>
          <w:b w:val="0"/>
          <w:bCs w:val="0"/>
          <w:i/>
          <w:iCs/>
          <w:sz w:val="20"/>
          <w:szCs w:val="20"/>
          <w:lang w:val="en-US" w:eastAsia="zh-CN"/>
        </w:rPr>
        <w:t xml:space="preserve">SystemInformationBlockType11 </w:t>
      </w:r>
      <w:r>
        <w:rPr>
          <w:rFonts w:hint="eastAsia" w:eastAsiaTheme="minorEastAsia"/>
          <w:b w:val="0"/>
          <w:bCs w:val="0"/>
          <w:sz w:val="20"/>
          <w:szCs w:val="20"/>
          <w:lang w:val="en-US" w:eastAsia="zh-CN"/>
        </w:rPr>
        <w:t xml:space="preserve">contains an ETWS secondary notification. For NB-IoT, we could consider to introduce two new </w:t>
      </w:r>
      <w:r>
        <w:rPr>
          <w:rFonts w:hint="eastAsia" w:eastAsiaTheme="minorEastAsia"/>
          <w:b w:val="0"/>
          <w:bCs w:val="0"/>
          <w:i/>
          <w:iCs/>
          <w:sz w:val="20"/>
          <w:szCs w:val="20"/>
          <w:lang w:val="en-US" w:eastAsia="zh-CN"/>
        </w:rPr>
        <w:t>SystemInformationBlockTypexx-NB</w:t>
      </w:r>
      <w:r>
        <w:rPr>
          <w:rFonts w:hint="eastAsia" w:eastAsiaTheme="minorEastAsia"/>
          <w:b w:val="0"/>
          <w:bCs w:val="0"/>
          <w:sz w:val="20"/>
          <w:szCs w:val="20"/>
          <w:lang w:val="en-US" w:eastAsia="zh-CN"/>
        </w:rPr>
        <w:t xml:space="preserve"> to include the ETWS primary notification and ETWS secondary notification respectively.</w:t>
      </w:r>
    </w:p>
    <w:p>
      <w:pPr>
        <w:pStyle w:val="60"/>
        <w:spacing w:after="0"/>
        <w:ind w:left="0" w:firstLine="0"/>
      </w:pPr>
      <w:r>
        <w:drawing>
          <wp:inline distT="0" distB="0" distL="114300" distR="114300">
            <wp:extent cx="6109970" cy="2263140"/>
            <wp:effectExtent l="0" t="0" r="508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6109970" cy="2263140"/>
                    </a:xfrm>
                    <a:prstGeom prst="rect">
                      <a:avLst/>
                    </a:prstGeom>
                    <a:noFill/>
                    <a:ln>
                      <a:noFill/>
                    </a:ln>
                  </pic:spPr>
                </pic:pic>
              </a:graphicData>
            </a:graphic>
          </wp:inline>
        </w:drawing>
      </w:r>
    </w:p>
    <w:p>
      <w:pPr>
        <w:pStyle w:val="60"/>
        <w:spacing w:after="0"/>
        <w:ind w:left="0" w:firstLine="0"/>
        <w:rPr>
          <w:rFonts w:hint="default"/>
          <w:lang w:val="en-US" w:eastAsia="zh-CN"/>
        </w:rPr>
      </w:pPr>
      <w:r>
        <w:drawing>
          <wp:inline distT="0" distB="0" distL="114300" distR="114300">
            <wp:extent cx="6115685" cy="2381885"/>
            <wp:effectExtent l="0" t="0" r="18415" b="184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6115685" cy="2381885"/>
                    </a:xfrm>
                    <a:prstGeom prst="rect">
                      <a:avLst/>
                    </a:prstGeom>
                    <a:noFill/>
                    <a:ln>
                      <a:noFill/>
                    </a:ln>
                  </pic:spPr>
                </pic:pic>
              </a:graphicData>
            </a:graphic>
          </wp:inline>
        </w:drawing>
      </w:r>
    </w:p>
    <w:p>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Proposal 2: Similar to existing TS 36.331, introduce two new S</w:t>
      </w:r>
      <w:r>
        <w:rPr>
          <w:rFonts w:hint="eastAsia" w:eastAsiaTheme="minorEastAsia"/>
          <w:b/>
          <w:bCs/>
          <w:i/>
          <w:iCs/>
          <w:sz w:val="20"/>
          <w:szCs w:val="20"/>
          <w:lang w:val="en-US" w:eastAsia="zh-CN"/>
        </w:rPr>
        <w:t>ystemInformationBlockTypexx-NB</w:t>
      </w:r>
      <w:r>
        <w:rPr>
          <w:rFonts w:hint="eastAsia" w:eastAsiaTheme="minorEastAsia"/>
          <w:b/>
          <w:bCs/>
          <w:sz w:val="20"/>
          <w:szCs w:val="20"/>
          <w:lang w:val="en-US" w:eastAsia="zh-CN"/>
        </w:rPr>
        <w:t xml:space="preserve"> to include the ETWS primary notification and ETWS secondary notification for NB-IoT respectively.</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CMAS (Commercial Mobile Alert System)</w:t>
      </w:r>
    </w:p>
    <w:p>
      <w:pPr>
        <w:rPr>
          <w:rFonts w:hint="default" w:eastAsia="宋体"/>
          <w:b w:val="0"/>
          <w:bCs w:val="0"/>
          <w:sz w:val="20"/>
          <w:szCs w:val="20"/>
          <w:lang w:val="en-US" w:eastAsia="zh-CN"/>
        </w:rPr>
      </w:pPr>
      <w:r>
        <w:t xml:space="preserve">The IE </w:t>
      </w:r>
      <w:r>
        <w:rPr>
          <w:i/>
        </w:rPr>
        <w:t>SystemInformationBlockType12</w:t>
      </w:r>
      <w:r>
        <w:t xml:space="preserve"> contains a CMAS notification.</w:t>
      </w:r>
      <w:r>
        <w:rPr>
          <w:rFonts w:hint="eastAsia" w:eastAsia="宋体"/>
          <w:lang w:val="en-US" w:eastAsia="zh-CN"/>
        </w:rPr>
        <w:t xml:space="preserve"> And CMAS already supports the geo-fencing message with the </w:t>
      </w:r>
      <w:r>
        <w:rPr>
          <w:rFonts w:hint="eastAsia" w:eastAsia="宋体"/>
          <w:i/>
          <w:iCs/>
          <w:lang w:val="en-US" w:eastAsia="zh-CN"/>
        </w:rPr>
        <w:t>warningAreaCoordinatesSegment</w:t>
      </w:r>
      <w:r>
        <w:rPr>
          <w:rFonts w:hint="eastAsia" w:eastAsia="宋体"/>
          <w:lang w:val="en-US" w:eastAsia="zh-CN"/>
        </w:rPr>
        <w:t xml:space="preserve"> filed in </w:t>
      </w:r>
      <w:r>
        <w:rPr>
          <w:i/>
        </w:rPr>
        <w:t>SystemInformationBlockType12</w:t>
      </w:r>
      <w:r>
        <w:rPr>
          <w:rFonts w:hint="eastAsia" w:eastAsia="宋体"/>
          <w:i/>
          <w:lang w:val="en-US" w:eastAsia="zh-CN"/>
        </w:rPr>
        <w:t>,</w:t>
      </w:r>
      <w:r>
        <w:rPr>
          <w:rFonts w:hint="eastAsia" w:eastAsia="宋体"/>
          <w:i w:val="0"/>
          <w:iCs/>
          <w:lang w:val="en-US" w:eastAsia="zh-CN"/>
        </w:rPr>
        <w:t xml:space="preserve"> which could be acted as the service area. Therefore, a</w:t>
      </w:r>
      <w:r>
        <w:rPr>
          <w:rFonts w:hint="eastAsia" w:eastAsia="宋体"/>
          <w:lang w:val="en-US" w:eastAsia="zh-CN"/>
        </w:rPr>
        <w:t xml:space="preserve"> new </w:t>
      </w:r>
      <w:r>
        <w:rPr>
          <w:rFonts w:hint="eastAsia" w:eastAsiaTheme="minorEastAsia"/>
          <w:b w:val="0"/>
          <w:bCs w:val="0"/>
          <w:i/>
          <w:iCs/>
          <w:sz w:val="20"/>
          <w:szCs w:val="20"/>
          <w:lang w:val="en-US" w:eastAsia="zh-CN"/>
        </w:rPr>
        <w:t xml:space="preserve">SystemInformationBlockTypexx-NB </w:t>
      </w:r>
      <w:r>
        <w:rPr>
          <w:rFonts w:hint="eastAsia" w:eastAsiaTheme="minorEastAsia"/>
          <w:b w:val="0"/>
          <w:bCs w:val="0"/>
          <w:i w:val="0"/>
          <w:iCs w:val="0"/>
          <w:sz w:val="20"/>
          <w:szCs w:val="20"/>
          <w:lang w:val="en-US" w:eastAsia="zh-CN"/>
        </w:rPr>
        <w:t xml:space="preserve">could also be defined to include the </w:t>
      </w:r>
      <w:r>
        <w:t>CMAS notification</w:t>
      </w:r>
      <w:r>
        <w:rPr>
          <w:rFonts w:hint="eastAsia" w:eastAsia="宋体"/>
          <w:lang w:val="en-US" w:eastAsia="zh-CN"/>
        </w:rPr>
        <w:t xml:space="preserve"> for NB-IoT and no additional service area indication is needed. </w:t>
      </w:r>
    </w:p>
    <w:p>
      <w:pPr>
        <w:pStyle w:val="60"/>
        <w:spacing w:after="0"/>
        <w:ind w:left="0" w:firstLine="0"/>
        <w:rPr>
          <w:rFonts w:hint="default" w:eastAsiaTheme="minorEastAsia"/>
          <w:b w:val="0"/>
          <w:bCs w:val="0"/>
          <w:sz w:val="20"/>
          <w:szCs w:val="20"/>
          <w:lang w:val="en-US" w:eastAsia="zh-CN"/>
        </w:rPr>
      </w:pPr>
      <w:r>
        <w:drawing>
          <wp:inline distT="0" distB="0" distL="114300" distR="114300">
            <wp:extent cx="6109970" cy="2632075"/>
            <wp:effectExtent l="0" t="0" r="5080" b="158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6109970" cy="2632075"/>
                    </a:xfrm>
                    <a:prstGeom prst="rect">
                      <a:avLst/>
                    </a:prstGeom>
                    <a:noFill/>
                    <a:ln>
                      <a:noFill/>
                    </a:ln>
                  </pic:spPr>
                </pic:pic>
              </a:graphicData>
            </a:graphic>
          </wp:inline>
        </w:drawing>
      </w:r>
    </w:p>
    <w:p>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 xml:space="preserve">Proposal 3: Introduce a new </w:t>
      </w:r>
      <w:r>
        <w:rPr>
          <w:rFonts w:hint="eastAsia" w:eastAsiaTheme="minorEastAsia"/>
          <w:b/>
          <w:bCs/>
          <w:i/>
          <w:iCs/>
          <w:sz w:val="20"/>
          <w:szCs w:val="20"/>
          <w:lang w:val="en-US" w:eastAsia="zh-CN"/>
        </w:rPr>
        <w:t>SystemInformationBlockTypexx-NB</w:t>
      </w:r>
      <w:r>
        <w:rPr>
          <w:rFonts w:hint="eastAsia" w:eastAsiaTheme="minorEastAsia"/>
          <w:b/>
          <w:bCs/>
          <w:sz w:val="20"/>
          <w:szCs w:val="20"/>
          <w:lang w:val="en-US" w:eastAsia="zh-CN"/>
        </w:rPr>
        <w:t xml:space="preserve"> to include the CMAS notification for NB-IoT and no additional service area indication is needed.</w:t>
      </w:r>
    </w:p>
    <w:bookmarkEnd w:id="8"/>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Discussion on broadcast of PWS messages for NB-IoT</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w:t>
      </w:r>
      <w:r>
        <w:rPr>
          <w:rFonts w:eastAsia="宋体" w:cs="Arial"/>
          <w:sz w:val="20"/>
          <w:szCs w:val="20"/>
        </w:rPr>
        <w:t xml:space="preserve"> proposals:</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1: It is proposed to wait for NR NTN agreements on intended service area for ETWS.</w:t>
      </w:r>
    </w:p>
    <w:p>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Proposal 2: Similar to existing TS 36.331, introduce two new S</w:t>
      </w:r>
      <w:r>
        <w:rPr>
          <w:rFonts w:hint="eastAsia" w:eastAsiaTheme="minorEastAsia"/>
          <w:b/>
          <w:bCs/>
          <w:i/>
          <w:iCs/>
          <w:sz w:val="20"/>
          <w:szCs w:val="20"/>
          <w:lang w:val="en-US" w:eastAsia="zh-CN"/>
        </w:rPr>
        <w:t>ystemInformationBlockTypexx-NB</w:t>
      </w:r>
      <w:r>
        <w:rPr>
          <w:rFonts w:hint="eastAsia" w:eastAsiaTheme="minorEastAsia"/>
          <w:b/>
          <w:bCs/>
          <w:sz w:val="20"/>
          <w:szCs w:val="20"/>
          <w:lang w:val="en-US" w:eastAsia="zh-CN"/>
        </w:rPr>
        <w:t xml:space="preserve"> to include the ETWS primary notification and ETWS secondary notification for NB-IoT respectively.</w:t>
      </w:r>
    </w:p>
    <w:p>
      <w:pPr>
        <w:pStyle w:val="60"/>
        <w:spacing w:after="0"/>
        <w:ind w:left="0" w:firstLine="0"/>
        <w:rPr>
          <w:rFonts w:hint="default" w:eastAsia="宋体"/>
          <w:b/>
          <w:bCs w:val="0"/>
          <w:i w:val="0"/>
          <w:iCs w:val="0"/>
          <w:lang w:val="en-US" w:eastAsia="zh-CN"/>
        </w:rPr>
      </w:pPr>
      <w:r>
        <w:rPr>
          <w:rFonts w:hint="eastAsia" w:eastAsiaTheme="minorEastAsia"/>
          <w:b/>
          <w:bCs/>
          <w:sz w:val="20"/>
          <w:szCs w:val="20"/>
          <w:lang w:val="en-US" w:eastAsia="zh-CN"/>
        </w:rPr>
        <w:t xml:space="preserve">Proposal 3: Introduce a new </w:t>
      </w:r>
      <w:r>
        <w:rPr>
          <w:rFonts w:hint="eastAsia" w:eastAsiaTheme="minorEastAsia"/>
          <w:b/>
          <w:bCs/>
          <w:i/>
          <w:iCs/>
          <w:sz w:val="20"/>
          <w:szCs w:val="20"/>
          <w:lang w:val="en-US" w:eastAsia="zh-CN"/>
        </w:rPr>
        <w:t>SystemInformationBlockTypexx-NB</w:t>
      </w:r>
      <w:r>
        <w:rPr>
          <w:rFonts w:hint="eastAsia" w:eastAsiaTheme="minorEastAsia"/>
          <w:b/>
          <w:bCs/>
          <w:sz w:val="20"/>
          <w:szCs w:val="20"/>
          <w:lang w:val="en-US" w:eastAsia="zh-CN"/>
        </w:rPr>
        <w:t xml:space="preserve"> to include the CMAS notification for NB-IoT and no additional service area indication is needed.</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rPr>
          <w:rFonts w:hint="eastAsia"/>
          <w:sz w:val="20"/>
          <w:szCs w:val="20"/>
        </w:rPr>
      </w:pPr>
      <w:bookmarkStart w:id="9" w:name="_In-sequence_SDU_delivery"/>
      <w:bookmarkEnd w:id="9"/>
      <w:r>
        <w:rPr>
          <w:rFonts w:hint="eastAsia"/>
          <w:sz w:val="20"/>
          <w:szCs w:val="20"/>
        </w:rPr>
        <w:t>RP-242397 WID Rev R19 IOT-NTN cl</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2</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36.331 V18.2.0 Evolved Universal Terrestrial Radio Access (E-UTRA);</w:t>
      </w:r>
      <w:r>
        <w:rPr>
          <w:rFonts w:hint="eastAsia" w:eastAsia="宋体"/>
          <w:sz w:val="20"/>
          <w:szCs w:val="20"/>
          <w:lang w:val="en-US" w:eastAsia="zh-CN"/>
        </w:rPr>
        <w:t xml:space="preserve"> </w:t>
      </w:r>
      <w:r>
        <w:rPr>
          <w:rFonts w:hint="eastAsia"/>
          <w:sz w:val="20"/>
          <w:szCs w:val="20"/>
        </w:rPr>
        <w:t>Radio Resource Control (RRC);</w:t>
      </w:r>
      <w:r>
        <w:rPr>
          <w:rFonts w:hint="eastAsia" w:eastAsia="宋体"/>
          <w:sz w:val="20"/>
          <w:szCs w:val="20"/>
          <w:lang w:val="en-US" w:eastAsia="zh-CN"/>
        </w:rPr>
        <w:t xml:space="preserve"> </w:t>
      </w:r>
      <w:r>
        <w:rPr>
          <w:rFonts w:hint="eastAsia"/>
          <w:sz w:val="20"/>
          <w:szCs w:val="20"/>
        </w:rPr>
        <w:t>Protocol specification</w:t>
      </w:r>
      <w:r>
        <w:rPr>
          <w:rFonts w:hint="eastAsia" w:eastAsia="宋体"/>
          <w:sz w:val="20"/>
          <w:szCs w:val="20"/>
          <w:lang w:val="en-US" w:eastAsia="zh-CN"/>
        </w:rPr>
        <w:t xml:space="preserve"> </w:t>
      </w:r>
      <w:r>
        <w:rPr>
          <w:rFonts w:hint="eastAsia"/>
          <w:sz w:val="20"/>
          <w:szCs w:val="20"/>
        </w:rPr>
        <w:t>(Release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8"/>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B631E"/>
    <w:rsid w:val="016318F9"/>
    <w:rsid w:val="017A73D0"/>
    <w:rsid w:val="018E0749"/>
    <w:rsid w:val="019A10AD"/>
    <w:rsid w:val="01BF172D"/>
    <w:rsid w:val="01E74520"/>
    <w:rsid w:val="021F6B8A"/>
    <w:rsid w:val="022F4B03"/>
    <w:rsid w:val="02744528"/>
    <w:rsid w:val="02877C19"/>
    <w:rsid w:val="028D67E7"/>
    <w:rsid w:val="02CC0A1F"/>
    <w:rsid w:val="035845AA"/>
    <w:rsid w:val="03A11802"/>
    <w:rsid w:val="03CD053C"/>
    <w:rsid w:val="03F47F88"/>
    <w:rsid w:val="0416334A"/>
    <w:rsid w:val="04726FC9"/>
    <w:rsid w:val="048A5003"/>
    <w:rsid w:val="04A13B04"/>
    <w:rsid w:val="04B403C6"/>
    <w:rsid w:val="04BC080F"/>
    <w:rsid w:val="04BF107F"/>
    <w:rsid w:val="04D25727"/>
    <w:rsid w:val="04DA176A"/>
    <w:rsid w:val="04F07943"/>
    <w:rsid w:val="04F50E2F"/>
    <w:rsid w:val="051D3A75"/>
    <w:rsid w:val="05606A49"/>
    <w:rsid w:val="05983EBC"/>
    <w:rsid w:val="05A35E9B"/>
    <w:rsid w:val="06077EDA"/>
    <w:rsid w:val="06254DA5"/>
    <w:rsid w:val="06261BBF"/>
    <w:rsid w:val="0654248D"/>
    <w:rsid w:val="06565EAE"/>
    <w:rsid w:val="065C74ED"/>
    <w:rsid w:val="06724B04"/>
    <w:rsid w:val="06F35128"/>
    <w:rsid w:val="07046057"/>
    <w:rsid w:val="078C1F33"/>
    <w:rsid w:val="07B241B1"/>
    <w:rsid w:val="07B959B1"/>
    <w:rsid w:val="07BD374D"/>
    <w:rsid w:val="07E769A5"/>
    <w:rsid w:val="07EF7893"/>
    <w:rsid w:val="08350D3C"/>
    <w:rsid w:val="083F0917"/>
    <w:rsid w:val="0841118C"/>
    <w:rsid w:val="08AF444E"/>
    <w:rsid w:val="08F65DA6"/>
    <w:rsid w:val="09133D3D"/>
    <w:rsid w:val="09BB5B6F"/>
    <w:rsid w:val="09E47F26"/>
    <w:rsid w:val="09F46CE4"/>
    <w:rsid w:val="0A1A51CE"/>
    <w:rsid w:val="0A3F21EB"/>
    <w:rsid w:val="0A5E59A5"/>
    <w:rsid w:val="0A9740DA"/>
    <w:rsid w:val="0AA40C7E"/>
    <w:rsid w:val="0ACC0F45"/>
    <w:rsid w:val="0B080B5F"/>
    <w:rsid w:val="0B4A1814"/>
    <w:rsid w:val="0B510D2F"/>
    <w:rsid w:val="0B767B3C"/>
    <w:rsid w:val="0BCF37C5"/>
    <w:rsid w:val="0BD60B5C"/>
    <w:rsid w:val="0C0E133A"/>
    <w:rsid w:val="0C4B2410"/>
    <w:rsid w:val="0C984883"/>
    <w:rsid w:val="0CAE5B2E"/>
    <w:rsid w:val="0CD409FF"/>
    <w:rsid w:val="0D524167"/>
    <w:rsid w:val="0D587FCA"/>
    <w:rsid w:val="0D681ED9"/>
    <w:rsid w:val="0D6C179F"/>
    <w:rsid w:val="0DA013F6"/>
    <w:rsid w:val="0DDB664A"/>
    <w:rsid w:val="0E336CD8"/>
    <w:rsid w:val="0E891356"/>
    <w:rsid w:val="0E997EF0"/>
    <w:rsid w:val="0EC440FF"/>
    <w:rsid w:val="0EF139CD"/>
    <w:rsid w:val="0FB354FB"/>
    <w:rsid w:val="0FCC0A5A"/>
    <w:rsid w:val="0FE0018D"/>
    <w:rsid w:val="10221AC0"/>
    <w:rsid w:val="108131DD"/>
    <w:rsid w:val="11043CD0"/>
    <w:rsid w:val="110F10D1"/>
    <w:rsid w:val="118D209C"/>
    <w:rsid w:val="11B82D63"/>
    <w:rsid w:val="11C5063A"/>
    <w:rsid w:val="12B27083"/>
    <w:rsid w:val="12BA7EC6"/>
    <w:rsid w:val="12D20EAC"/>
    <w:rsid w:val="13116F0E"/>
    <w:rsid w:val="13132FCE"/>
    <w:rsid w:val="134A0035"/>
    <w:rsid w:val="135C7F4F"/>
    <w:rsid w:val="1382544E"/>
    <w:rsid w:val="13997B36"/>
    <w:rsid w:val="141B1C76"/>
    <w:rsid w:val="14A20FFB"/>
    <w:rsid w:val="14B67E3C"/>
    <w:rsid w:val="14B82DC6"/>
    <w:rsid w:val="153214F9"/>
    <w:rsid w:val="153372CB"/>
    <w:rsid w:val="16150148"/>
    <w:rsid w:val="16563130"/>
    <w:rsid w:val="169343E9"/>
    <w:rsid w:val="16A42650"/>
    <w:rsid w:val="16AA08E2"/>
    <w:rsid w:val="16F24CA6"/>
    <w:rsid w:val="171B31CF"/>
    <w:rsid w:val="177E36D0"/>
    <w:rsid w:val="179450F0"/>
    <w:rsid w:val="17945CA4"/>
    <w:rsid w:val="180E362D"/>
    <w:rsid w:val="181B2E1C"/>
    <w:rsid w:val="182D4589"/>
    <w:rsid w:val="18571522"/>
    <w:rsid w:val="18787128"/>
    <w:rsid w:val="18B278BB"/>
    <w:rsid w:val="18B9619D"/>
    <w:rsid w:val="190A668D"/>
    <w:rsid w:val="191242AE"/>
    <w:rsid w:val="195B3A6D"/>
    <w:rsid w:val="19AC5C42"/>
    <w:rsid w:val="19BC1AC5"/>
    <w:rsid w:val="19D92839"/>
    <w:rsid w:val="1A201089"/>
    <w:rsid w:val="1A330485"/>
    <w:rsid w:val="1A913825"/>
    <w:rsid w:val="1AA366F2"/>
    <w:rsid w:val="1AC82085"/>
    <w:rsid w:val="1AEF5DBD"/>
    <w:rsid w:val="1B423649"/>
    <w:rsid w:val="1B510746"/>
    <w:rsid w:val="1BA24967"/>
    <w:rsid w:val="1BD95F94"/>
    <w:rsid w:val="1BDA5141"/>
    <w:rsid w:val="1C3D1CD0"/>
    <w:rsid w:val="1C5E7298"/>
    <w:rsid w:val="1C851710"/>
    <w:rsid w:val="1C917FBA"/>
    <w:rsid w:val="1DD14FB1"/>
    <w:rsid w:val="1DDD518B"/>
    <w:rsid w:val="1E1507D7"/>
    <w:rsid w:val="1E3072B7"/>
    <w:rsid w:val="1E403C53"/>
    <w:rsid w:val="1EA20D4A"/>
    <w:rsid w:val="1EAA6DF5"/>
    <w:rsid w:val="1ECC19F8"/>
    <w:rsid w:val="1EFF6958"/>
    <w:rsid w:val="1F0926FA"/>
    <w:rsid w:val="1F0A1209"/>
    <w:rsid w:val="1F734328"/>
    <w:rsid w:val="1FA11974"/>
    <w:rsid w:val="1FAE283E"/>
    <w:rsid w:val="1FB32543"/>
    <w:rsid w:val="20203DE8"/>
    <w:rsid w:val="2031215C"/>
    <w:rsid w:val="20955704"/>
    <w:rsid w:val="20DB7C51"/>
    <w:rsid w:val="20E9518E"/>
    <w:rsid w:val="20FE42D5"/>
    <w:rsid w:val="211313D4"/>
    <w:rsid w:val="21234291"/>
    <w:rsid w:val="21E52206"/>
    <w:rsid w:val="21F86645"/>
    <w:rsid w:val="22C4562D"/>
    <w:rsid w:val="23144387"/>
    <w:rsid w:val="234E7F45"/>
    <w:rsid w:val="23686144"/>
    <w:rsid w:val="239A17D4"/>
    <w:rsid w:val="239F51B6"/>
    <w:rsid w:val="241B2FD5"/>
    <w:rsid w:val="242445BB"/>
    <w:rsid w:val="243F039F"/>
    <w:rsid w:val="245B6D34"/>
    <w:rsid w:val="24B5447A"/>
    <w:rsid w:val="24B82068"/>
    <w:rsid w:val="24E02080"/>
    <w:rsid w:val="24E10292"/>
    <w:rsid w:val="25043CC9"/>
    <w:rsid w:val="26281CED"/>
    <w:rsid w:val="265D0D96"/>
    <w:rsid w:val="269447EB"/>
    <w:rsid w:val="26B07C33"/>
    <w:rsid w:val="26D47A62"/>
    <w:rsid w:val="27306E68"/>
    <w:rsid w:val="27606908"/>
    <w:rsid w:val="276D70AB"/>
    <w:rsid w:val="277E77C1"/>
    <w:rsid w:val="27AE47D9"/>
    <w:rsid w:val="27E26E59"/>
    <w:rsid w:val="2809471B"/>
    <w:rsid w:val="28255BB3"/>
    <w:rsid w:val="285478B9"/>
    <w:rsid w:val="28603CA4"/>
    <w:rsid w:val="287D0002"/>
    <w:rsid w:val="287D5E75"/>
    <w:rsid w:val="28AD0B61"/>
    <w:rsid w:val="28FA7E82"/>
    <w:rsid w:val="29423CBE"/>
    <w:rsid w:val="29CD3FA9"/>
    <w:rsid w:val="2A1862C4"/>
    <w:rsid w:val="2A1D0497"/>
    <w:rsid w:val="2A4B23FB"/>
    <w:rsid w:val="2AC455D6"/>
    <w:rsid w:val="2AC82235"/>
    <w:rsid w:val="2AF0613E"/>
    <w:rsid w:val="2B083F92"/>
    <w:rsid w:val="2B542A45"/>
    <w:rsid w:val="2BB96BD3"/>
    <w:rsid w:val="2BC72D99"/>
    <w:rsid w:val="2BE54292"/>
    <w:rsid w:val="2BFC2B9D"/>
    <w:rsid w:val="2C285659"/>
    <w:rsid w:val="2C9F2631"/>
    <w:rsid w:val="2CF51ED1"/>
    <w:rsid w:val="2CFA23BD"/>
    <w:rsid w:val="2D3B228A"/>
    <w:rsid w:val="2D5923F4"/>
    <w:rsid w:val="2D8523AE"/>
    <w:rsid w:val="2DB6192E"/>
    <w:rsid w:val="2DB67426"/>
    <w:rsid w:val="2DF36570"/>
    <w:rsid w:val="2E103F98"/>
    <w:rsid w:val="2EB775B3"/>
    <w:rsid w:val="2EC80E25"/>
    <w:rsid w:val="2ECD5251"/>
    <w:rsid w:val="2EE85B84"/>
    <w:rsid w:val="2EF94A67"/>
    <w:rsid w:val="2EFC31BC"/>
    <w:rsid w:val="2F2F4C2C"/>
    <w:rsid w:val="2F3D4E71"/>
    <w:rsid w:val="302E07AF"/>
    <w:rsid w:val="30866EAA"/>
    <w:rsid w:val="30946552"/>
    <w:rsid w:val="309E20B5"/>
    <w:rsid w:val="30BF1F4D"/>
    <w:rsid w:val="30F3431F"/>
    <w:rsid w:val="311B0263"/>
    <w:rsid w:val="31503E5A"/>
    <w:rsid w:val="316D7D0D"/>
    <w:rsid w:val="319D3380"/>
    <w:rsid w:val="31AE180F"/>
    <w:rsid w:val="326B2AB6"/>
    <w:rsid w:val="32A942B0"/>
    <w:rsid w:val="32F13120"/>
    <w:rsid w:val="333000CE"/>
    <w:rsid w:val="333663A2"/>
    <w:rsid w:val="335B55F1"/>
    <w:rsid w:val="33863C3A"/>
    <w:rsid w:val="33A81036"/>
    <w:rsid w:val="33E26367"/>
    <w:rsid w:val="33F614DE"/>
    <w:rsid w:val="341E7B56"/>
    <w:rsid w:val="34207E90"/>
    <w:rsid w:val="342C61EA"/>
    <w:rsid w:val="34914DCA"/>
    <w:rsid w:val="34C6331F"/>
    <w:rsid w:val="34D95BB9"/>
    <w:rsid w:val="34F97D00"/>
    <w:rsid w:val="35050B53"/>
    <w:rsid w:val="354D014F"/>
    <w:rsid w:val="35502BD2"/>
    <w:rsid w:val="35A35F0C"/>
    <w:rsid w:val="361C2353"/>
    <w:rsid w:val="3635547B"/>
    <w:rsid w:val="365C6586"/>
    <w:rsid w:val="36746B61"/>
    <w:rsid w:val="36A9407C"/>
    <w:rsid w:val="36CA7953"/>
    <w:rsid w:val="36FA1D41"/>
    <w:rsid w:val="37C2178A"/>
    <w:rsid w:val="37D61EDD"/>
    <w:rsid w:val="37E26F6D"/>
    <w:rsid w:val="37E93248"/>
    <w:rsid w:val="37F97B97"/>
    <w:rsid w:val="380411EC"/>
    <w:rsid w:val="3829480D"/>
    <w:rsid w:val="383529C2"/>
    <w:rsid w:val="383C5BD0"/>
    <w:rsid w:val="38536D3F"/>
    <w:rsid w:val="387B61F0"/>
    <w:rsid w:val="387D26D9"/>
    <w:rsid w:val="388727CC"/>
    <w:rsid w:val="39024B57"/>
    <w:rsid w:val="3A02147B"/>
    <w:rsid w:val="3A06167E"/>
    <w:rsid w:val="3A3665DD"/>
    <w:rsid w:val="3A6F42D5"/>
    <w:rsid w:val="3A82293D"/>
    <w:rsid w:val="3A9E2AD9"/>
    <w:rsid w:val="3AC57875"/>
    <w:rsid w:val="3AE309A9"/>
    <w:rsid w:val="3AEF40DA"/>
    <w:rsid w:val="3B596DF7"/>
    <w:rsid w:val="3BC23F1A"/>
    <w:rsid w:val="3BC52C1E"/>
    <w:rsid w:val="3C2A7289"/>
    <w:rsid w:val="3C5503C9"/>
    <w:rsid w:val="3C6D30EA"/>
    <w:rsid w:val="3C6D47EB"/>
    <w:rsid w:val="3CCB7AFB"/>
    <w:rsid w:val="3CD8469E"/>
    <w:rsid w:val="3D2C7D07"/>
    <w:rsid w:val="3D2E7413"/>
    <w:rsid w:val="3D406D01"/>
    <w:rsid w:val="3D4E0A24"/>
    <w:rsid w:val="3D5934AC"/>
    <w:rsid w:val="3D966C01"/>
    <w:rsid w:val="3DA51E2F"/>
    <w:rsid w:val="3DB43891"/>
    <w:rsid w:val="3E0B7BD9"/>
    <w:rsid w:val="3E267F59"/>
    <w:rsid w:val="3E2E7FDD"/>
    <w:rsid w:val="3E4456FC"/>
    <w:rsid w:val="3EA877DC"/>
    <w:rsid w:val="3F1E12A1"/>
    <w:rsid w:val="3F7117D8"/>
    <w:rsid w:val="3FEB0FB3"/>
    <w:rsid w:val="40325295"/>
    <w:rsid w:val="407C021F"/>
    <w:rsid w:val="40F33173"/>
    <w:rsid w:val="40F82E28"/>
    <w:rsid w:val="41585AC3"/>
    <w:rsid w:val="41B34CCB"/>
    <w:rsid w:val="41C87C60"/>
    <w:rsid w:val="41C96466"/>
    <w:rsid w:val="41F85DEA"/>
    <w:rsid w:val="420610DF"/>
    <w:rsid w:val="429544E1"/>
    <w:rsid w:val="42CE6929"/>
    <w:rsid w:val="42F71CEC"/>
    <w:rsid w:val="43BD07B0"/>
    <w:rsid w:val="43C65B01"/>
    <w:rsid w:val="43DF4E15"/>
    <w:rsid w:val="43E53BCD"/>
    <w:rsid w:val="43F03364"/>
    <w:rsid w:val="443B107F"/>
    <w:rsid w:val="44776D6B"/>
    <w:rsid w:val="44843D36"/>
    <w:rsid w:val="44B14540"/>
    <w:rsid w:val="44BA7E1E"/>
    <w:rsid w:val="44BE79C3"/>
    <w:rsid w:val="455340E3"/>
    <w:rsid w:val="45CA31DA"/>
    <w:rsid w:val="45D50D55"/>
    <w:rsid w:val="45EC6821"/>
    <w:rsid w:val="45F303D0"/>
    <w:rsid w:val="45F84858"/>
    <w:rsid w:val="462356B3"/>
    <w:rsid w:val="464004CF"/>
    <w:rsid w:val="46460503"/>
    <w:rsid w:val="4673772B"/>
    <w:rsid w:val="46A55352"/>
    <w:rsid w:val="46B51FCF"/>
    <w:rsid w:val="46BA0199"/>
    <w:rsid w:val="46FF6AF5"/>
    <w:rsid w:val="47062A9A"/>
    <w:rsid w:val="476E313F"/>
    <w:rsid w:val="47993F84"/>
    <w:rsid w:val="47BD666C"/>
    <w:rsid w:val="47DB6CDA"/>
    <w:rsid w:val="480A17DC"/>
    <w:rsid w:val="4896658D"/>
    <w:rsid w:val="497F7FCC"/>
    <w:rsid w:val="49B17433"/>
    <w:rsid w:val="4A284A82"/>
    <w:rsid w:val="4A662E1D"/>
    <w:rsid w:val="4A7E32B4"/>
    <w:rsid w:val="4AF07359"/>
    <w:rsid w:val="4AFC533A"/>
    <w:rsid w:val="4B1367B9"/>
    <w:rsid w:val="4B316DE7"/>
    <w:rsid w:val="4B565C38"/>
    <w:rsid w:val="4B6D7831"/>
    <w:rsid w:val="4B8D0855"/>
    <w:rsid w:val="4B920891"/>
    <w:rsid w:val="4B9C680D"/>
    <w:rsid w:val="4BB221B4"/>
    <w:rsid w:val="4C353BC7"/>
    <w:rsid w:val="4C5D54D6"/>
    <w:rsid w:val="4C814518"/>
    <w:rsid w:val="4C91315E"/>
    <w:rsid w:val="4CAD0872"/>
    <w:rsid w:val="4CCE50CA"/>
    <w:rsid w:val="4CE57F81"/>
    <w:rsid w:val="4D171B62"/>
    <w:rsid w:val="4D3A24A4"/>
    <w:rsid w:val="4D594475"/>
    <w:rsid w:val="4D762F64"/>
    <w:rsid w:val="4DB06342"/>
    <w:rsid w:val="4DEC01C6"/>
    <w:rsid w:val="4DF158ED"/>
    <w:rsid w:val="4E0C3478"/>
    <w:rsid w:val="4E207448"/>
    <w:rsid w:val="4E4D0205"/>
    <w:rsid w:val="4E865DE0"/>
    <w:rsid w:val="4EC83A06"/>
    <w:rsid w:val="4EE32FEF"/>
    <w:rsid w:val="4F1C0A54"/>
    <w:rsid w:val="4F235FC8"/>
    <w:rsid w:val="4F2C3853"/>
    <w:rsid w:val="4F530CAB"/>
    <w:rsid w:val="4F7F20AA"/>
    <w:rsid w:val="4F873909"/>
    <w:rsid w:val="4F9510BA"/>
    <w:rsid w:val="4FF617D6"/>
    <w:rsid w:val="50507ECA"/>
    <w:rsid w:val="506B2DFC"/>
    <w:rsid w:val="508F3931"/>
    <w:rsid w:val="50E64646"/>
    <w:rsid w:val="50FC2CFB"/>
    <w:rsid w:val="513A3326"/>
    <w:rsid w:val="513B4B9D"/>
    <w:rsid w:val="515C13CF"/>
    <w:rsid w:val="51644678"/>
    <w:rsid w:val="516A6684"/>
    <w:rsid w:val="518C6DB2"/>
    <w:rsid w:val="51AF5989"/>
    <w:rsid w:val="51E25CE3"/>
    <w:rsid w:val="51E261D3"/>
    <w:rsid w:val="51EA16FB"/>
    <w:rsid w:val="5223684A"/>
    <w:rsid w:val="52A32CE7"/>
    <w:rsid w:val="52A955AB"/>
    <w:rsid w:val="532C26FC"/>
    <w:rsid w:val="53322A76"/>
    <w:rsid w:val="53C54AA3"/>
    <w:rsid w:val="547F5841"/>
    <w:rsid w:val="54A648D1"/>
    <w:rsid w:val="54D81A93"/>
    <w:rsid w:val="54DB29BD"/>
    <w:rsid w:val="54E44ED6"/>
    <w:rsid w:val="5529069B"/>
    <w:rsid w:val="55571991"/>
    <w:rsid w:val="566931AC"/>
    <w:rsid w:val="56F374FB"/>
    <w:rsid w:val="57613A81"/>
    <w:rsid w:val="58532B7C"/>
    <w:rsid w:val="58D81F5B"/>
    <w:rsid w:val="592D06A1"/>
    <w:rsid w:val="59620232"/>
    <w:rsid w:val="596D61FA"/>
    <w:rsid w:val="59A00F56"/>
    <w:rsid w:val="59B24039"/>
    <w:rsid w:val="59DA5A4F"/>
    <w:rsid w:val="5A31005C"/>
    <w:rsid w:val="5A637CC1"/>
    <w:rsid w:val="5AB72D62"/>
    <w:rsid w:val="5B0260D0"/>
    <w:rsid w:val="5B3D7266"/>
    <w:rsid w:val="5B8D1AC1"/>
    <w:rsid w:val="5BA3592C"/>
    <w:rsid w:val="5BAB7539"/>
    <w:rsid w:val="5BCE0DEA"/>
    <w:rsid w:val="5C5D2B35"/>
    <w:rsid w:val="5C610721"/>
    <w:rsid w:val="5C8B6FF1"/>
    <w:rsid w:val="5C9818A6"/>
    <w:rsid w:val="5CFE4143"/>
    <w:rsid w:val="5D13255A"/>
    <w:rsid w:val="5D331782"/>
    <w:rsid w:val="5D502A92"/>
    <w:rsid w:val="5E204AD7"/>
    <w:rsid w:val="5E4C6102"/>
    <w:rsid w:val="5E6D4BC0"/>
    <w:rsid w:val="5EEA5BA3"/>
    <w:rsid w:val="5F3E69CE"/>
    <w:rsid w:val="5FE11ED3"/>
    <w:rsid w:val="6009519E"/>
    <w:rsid w:val="603D2CDD"/>
    <w:rsid w:val="60AD5F5F"/>
    <w:rsid w:val="60D525F3"/>
    <w:rsid w:val="60E30438"/>
    <w:rsid w:val="61127BCE"/>
    <w:rsid w:val="611E5441"/>
    <w:rsid w:val="612D3C7B"/>
    <w:rsid w:val="617C2D8F"/>
    <w:rsid w:val="61826F89"/>
    <w:rsid w:val="623E2101"/>
    <w:rsid w:val="626242CD"/>
    <w:rsid w:val="62757735"/>
    <w:rsid w:val="628B64AF"/>
    <w:rsid w:val="62947A1C"/>
    <w:rsid w:val="62A109BE"/>
    <w:rsid w:val="62CD6DE1"/>
    <w:rsid w:val="62E70A4E"/>
    <w:rsid w:val="62FD4A9D"/>
    <w:rsid w:val="632C6FC4"/>
    <w:rsid w:val="633C129B"/>
    <w:rsid w:val="634B3FF6"/>
    <w:rsid w:val="63DA517F"/>
    <w:rsid w:val="64460ECC"/>
    <w:rsid w:val="644F5E22"/>
    <w:rsid w:val="64681DB1"/>
    <w:rsid w:val="64902A98"/>
    <w:rsid w:val="64961979"/>
    <w:rsid w:val="64D843A5"/>
    <w:rsid w:val="64E46FA4"/>
    <w:rsid w:val="652B7ADD"/>
    <w:rsid w:val="653E277C"/>
    <w:rsid w:val="657E520F"/>
    <w:rsid w:val="663B46C9"/>
    <w:rsid w:val="663F30CF"/>
    <w:rsid w:val="66DB09CF"/>
    <w:rsid w:val="66F93E1B"/>
    <w:rsid w:val="67413BF6"/>
    <w:rsid w:val="6755359A"/>
    <w:rsid w:val="67A7418D"/>
    <w:rsid w:val="67D27C62"/>
    <w:rsid w:val="67D67A95"/>
    <w:rsid w:val="67DF6978"/>
    <w:rsid w:val="68CC107E"/>
    <w:rsid w:val="68D102AF"/>
    <w:rsid w:val="694E04D2"/>
    <w:rsid w:val="695664EF"/>
    <w:rsid w:val="69653491"/>
    <w:rsid w:val="698044A5"/>
    <w:rsid w:val="69E66B78"/>
    <w:rsid w:val="6A510F7A"/>
    <w:rsid w:val="6A7259EE"/>
    <w:rsid w:val="6A8739D3"/>
    <w:rsid w:val="6AA67E64"/>
    <w:rsid w:val="6AF21A55"/>
    <w:rsid w:val="6B0D712F"/>
    <w:rsid w:val="6B28575B"/>
    <w:rsid w:val="6B472B04"/>
    <w:rsid w:val="6B827ED3"/>
    <w:rsid w:val="6B8B198F"/>
    <w:rsid w:val="6BD66216"/>
    <w:rsid w:val="6BE4485D"/>
    <w:rsid w:val="6BFE3795"/>
    <w:rsid w:val="6C1E113E"/>
    <w:rsid w:val="6C3A1127"/>
    <w:rsid w:val="6C3B11AE"/>
    <w:rsid w:val="6C3B431E"/>
    <w:rsid w:val="6C857DA8"/>
    <w:rsid w:val="6CC1587C"/>
    <w:rsid w:val="6D266267"/>
    <w:rsid w:val="6D2B74AA"/>
    <w:rsid w:val="6D697BC3"/>
    <w:rsid w:val="6D7111BC"/>
    <w:rsid w:val="6DCA5CB9"/>
    <w:rsid w:val="6E08583A"/>
    <w:rsid w:val="6E280F38"/>
    <w:rsid w:val="6E5408E4"/>
    <w:rsid w:val="6E8A21F7"/>
    <w:rsid w:val="6ECB7942"/>
    <w:rsid w:val="6EFC69C0"/>
    <w:rsid w:val="6F000F0B"/>
    <w:rsid w:val="6F197436"/>
    <w:rsid w:val="6F2867BD"/>
    <w:rsid w:val="6F44559B"/>
    <w:rsid w:val="70115BE8"/>
    <w:rsid w:val="703A2630"/>
    <w:rsid w:val="70561E49"/>
    <w:rsid w:val="709C594C"/>
    <w:rsid w:val="70C723A5"/>
    <w:rsid w:val="71D0045B"/>
    <w:rsid w:val="71D05F49"/>
    <w:rsid w:val="71F773F9"/>
    <w:rsid w:val="720F4381"/>
    <w:rsid w:val="725E4C39"/>
    <w:rsid w:val="73090FE2"/>
    <w:rsid w:val="73265607"/>
    <w:rsid w:val="73522B35"/>
    <w:rsid w:val="7399271A"/>
    <w:rsid w:val="73EC173C"/>
    <w:rsid w:val="73F82EA2"/>
    <w:rsid w:val="7435596C"/>
    <w:rsid w:val="74722C9A"/>
    <w:rsid w:val="747E452E"/>
    <w:rsid w:val="74880357"/>
    <w:rsid w:val="74A647DF"/>
    <w:rsid w:val="74E82CC1"/>
    <w:rsid w:val="74FA5A4A"/>
    <w:rsid w:val="751A36A3"/>
    <w:rsid w:val="75330480"/>
    <w:rsid w:val="754B57C9"/>
    <w:rsid w:val="755F161D"/>
    <w:rsid w:val="75884210"/>
    <w:rsid w:val="75BD4A84"/>
    <w:rsid w:val="75EA7003"/>
    <w:rsid w:val="760D56E2"/>
    <w:rsid w:val="76EE218C"/>
    <w:rsid w:val="771614C5"/>
    <w:rsid w:val="772E0B03"/>
    <w:rsid w:val="773C532B"/>
    <w:rsid w:val="77642276"/>
    <w:rsid w:val="778A542A"/>
    <w:rsid w:val="77C177F8"/>
    <w:rsid w:val="77DB3F30"/>
    <w:rsid w:val="77EF5E51"/>
    <w:rsid w:val="78114B94"/>
    <w:rsid w:val="789A3CEC"/>
    <w:rsid w:val="79251491"/>
    <w:rsid w:val="79332F0B"/>
    <w:rsid w:val="796923D7"/>
    <w:rsid w:val="79C11BD2"/>
    <w:rsid w:val="79E8078D"/>
    <w:rsid w:val="7A3422EE"/>
    <w:rsid w:val="7A4774F3"/>
    <w:rsid w:val="7AA678C6"/>
    <w:rsid w:val="7B016CDB"/>
    <w:rsid w:val="7B113087"/>
    <w:rsid w:val="7B230F9F"/>
    <w:rsid w:val="7B390471"/>
    <w:rsid w:val="7B5441DD"/>
    <w:rsid w:val="7B9D3F28"/>
    <w:rsid w:val="7B9E2E7D"/>
    <w:rsid w:val="7BA5186C"/>
    <w:rsid w:val="7BB92BA6"/>
    <w:rsid w:val="7BEA35A6"/>
    <w:rsid w:val="7C050B07"/>
    <w:rsid w:val="7C9E7A01"/>
    <w:rsid w:val="7D2E186E"/>
    <w:rsid w:val="7D8F4D8B"/>
    <w:rsid w:val="7D972C8E"/>
    <w:rsid w:val="7DBA4407"/>
    <w:rsid w:val="7DD14D63"/>
    <w:rsid w:val="7E04089A"/>
    <w:rsid w:val="7E0773D0"/>
    <w:rsid w:val="7E256583"/>
    <w:rsid w:val="7E5D66DD"/>
    <w:rsid w:val="7E734104"/>
    <w:rsid w:val="7E7C3173"/>
    <w:rsid w:val="7EE00201"/>
    <w:rsid w:val="7EE628C5"/>
    <w:rsid w:val="7EEE5FCC"/>
    <w:rsid w:val="7F2E279D"/>
    <w:rsid w:val="7F60044C"/>
    <w:rsid w:val="7F6848DF"/>
    <w:rsid w:val="7F7054DF"/>
    <w:rsid w:val="7F724CCB"/>
    <w:rsid w:val="7F8044A4"/>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2024-09-30T06:07:43Z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3136CA8213E04E06BBA15449D35A31B4</vt:lpwstr>
  </property>
</Properties>
</file>